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Airborne Wind Energy integrated into German Renewable Energy Act</w:t>
      </w:r>
    </w:p>
    <w:p>
      <w:pPr/>
      <w:r>
        <w:rPr>
          <w:sz w:val="28"/>
          <w:szCs w:val="28"/>
          <w:b w:val="1"/>
          <w:bCs w:val="1"/>
        </w:rPr>
        <w:t xml:space="preserve">Delft, May 1, 2024- Kitepower is proud to announce a monumental achievement in the renewable energy sector. The German Renewable Energy Act (EEG) is set to include provisions specifically recognizing and supporting Airborne Wind Energy (AWE), a significant milestone for the industry.</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 a pioneering member of Airborne Wind Europe, has been instrumental in advocating for the integration of AWE into national energy policies, with a proven track record of innovative systems poised to reshape the renewable energy landscape. Today, the company celebrates a significant milestone as Germany, a key player in Europe's renewable energy transition, embraces AWE as a fundamental component of its energy strategy.</w:t>
      </w:r>
    </w:p>
    <w:p>
      <w:pPr/>
      <w:r>
        <w:rPr>
          <w:b w:val="1"/>
          <w:bCs w:val="1"/>
        </w:rPr>
        <w:t xml:space="preserve">Solarpakket</w:t>
      </w:r>
    </w:p>
    <w:p/>
    <w:p>
      <w:pPr/>
      <w:r>
        <w:rPr>
          <w:b w:val="0"/>
          <w:bCs w:val="0"/>
        </w:rPr>
        <w:t xml:space="preserve">Recent developments in the German parliament saw the approval of the "Solarpaket," which includes provisions for AWE-specific tariffs within the EEG. This historic decision marks the first time such measures have been implemented, signaling a major recognition of AWE's potential contribution to the renewable energy mix.</w:t>
      </w:r>
    </w:p>
    <w:p>
      <w:pPr/>
      <w:r>
        <w:rPr>
          <w:b w:val="0"/>
          <w:bCs w:val="0"/>
        </w:rPr>
        <w:t xml:space="preserve">Speaking on the significance of this milestone, Johannes Peschel, Kitepower's CEO remarked, "This is a historic moment for the AWE industry and for sustainable energy as a whole. Germany's decision to include AWE in its renewable energy framework not only validates our technology but also paves the way for accelerated adoption across Germany, Europe and beyond."</w:t>
      </w:r>
    </w:p>
    <w:p>
      <w:pPr/>
      <w:r>
        <w:rPr>
          <w:b w:val="1"/>
          <w:bCs w:val="1"/>
        </w:rPr>
        <w:t xml:space="preserve">Benefits</w:t>
      </w:r>
    </w:p>
    <w:p/>
    <w:p>
      <w:pPr/>
      <w:r>
        <w:rPr>
          <w:b w:val="0"/>
          <w:bCs w:val="0"/>
        </w:rPr>
        <w:t xml:space="preserve">The incorporation of AWE-specific tariffs within the EEG is poised to unlock a range of benefits for the industry. These include enhanced access to financing, heightened international visibility, improved research and development conditions, regulatory adaptations, and the strengthening of European industrial leadership in renewable energy innovation.</w:t>
      </w:r>
    </w:p>
    <w:p>
      <w:pPr/>
      <w:r>
        <w:rPr>
          <w:b w:val="0"/>
          <w:bCs w:val="0"/>
        </w:rPr>
        <w:t xml:space="preserve">As Kitepower continues to push the boundaries of renewable energy technology, the company remains committed to driving positive change and shaping a sustainable future for generations to come. With AWE gaining recognition and support on the global stage, the potential for clean, reliable, and scalable energy solutions has never been brighter.</w:t>
      </w:r>
    </w:p>
    <w:p>
      <w:pPr/>
      <w:r>
        <w:rPr>
          <w:b w:val="1"/>
          <w:bCs w:val="1"/>
        </w:rPr>
        <w:t xml:space="preserve">About 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w:t>
      </w:r>
    </w:p>
    <w:p>
      <w:pPr/>
      <w:r>
        <w:rPr>
          <w:b w:val="0"/>
          <w:bCs w:val="0"/>
        </w:rPr>
        <w:t xml:space="preserve">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 </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airborne-wind-energy-integrated-into-german-renewable-energy-ac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2024-10-29T19:18:43+01:00</dcterms:created>
  <dcterms:modified xsi:type="dcterms:W3CDTF">2024-10-29T19:18:43+01:00</dcterms:modified>
</cp:coreProperties>
</file>

<file path=docProps/custom.xml><?xml version="1.0" encoding="utf-8"?>
<Properties xmlns="http://schemas.openxmlformats.org/officeDocument/2006/custom-properties" xmlns:vt="http://schemas.openxmlformats.org/officeDocument/2006/docPropsVTypes"/>
</file>